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Default="00D24ADA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DA">
        <w:rPr>
          <w:rFonts w:ascii="Times New Roman" w:hAnsi="Times New Roman" w:cs="Times New Roman"/>
          <w:b/>
          <w:sz w:val="28"/>
          <w:szCs w:val="28"/>
        </w:rPr>
        <w:t>Отчет по итогам проведения городского конкурса проектов «Цвети, Земля!» 1</w:t>
      </w:r>
      <w:r w:rsidR="00225B91">
        <w:rPr>
          <w:rFonts w:ascii="Times New Roman" w:hAnsi="Times New Roman" w:cs="Times New Roman"/>
          <w:b/>
          <w:sz w:val="28"/>
          <w:szCs w:val="28"/>
        </w:rPr>
        <w:t>3</w:t>
      </w:r>
      <w:r w:rsidRPr="00D24ADA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225B91">
        <w:rPr>
          <w:rFonts w:ascii="Times New Roman" w:hAnsi="Times New Roman" w:cs="Times New Roman"/>
          <w:b/>
          <w:sz w:val="28"/>
          <w:szCs w:val="28"/>
        </w:rPr>
        <w:t>5</w:t>
      </w:r>
      <w:r w:rsidRPr="00D24A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D24ADA" w:rsidTr="008F56C6">
        <w:tc>
          <w:tcPr>
            <w:tcW w:w="5211" w:type="dxa"/>
          </w:tcPr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639" w:type="dxa"/>
          </w:tcPr>
          <w:p w:rsid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«Цвети, Земля!»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225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детей Городская станция юных натуралистов, город Ярославль, улица Юности, д.18а</w:t>
            </w:r>
          </w:p>
          <w:p w:rsidR="00D24ADA" w:rsidRP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Городская станция юных натуралистов (МОУДОД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ADA" w:rsidTr="008F56C6">
        <w:tc>
          <w:tcPr>
            <w:tcW w:w="5211" w:type="dxa"/>
          </w:tcPr>
          <w:p w:rsidR="00D24ADA" w:rsidRDefault="00D24ADA" w:rsidP="00D2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поданных заявок: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-обучающихся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-педагогических работников (руководители)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-других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-всего</w:t>
            </w:r>
          </w:p>
          <w:p w:rsidR="002E2B48" w:rsidRDefault="002E2B4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9639" w:type="dxa"/>
          </w:tcPr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E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4D6E7B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2C03A3" w:rsidRDefault="004D6E7B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4D6E7B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МООУ санаторная школа-интернат №6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им.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23;</w:t>
            </w:r>
          </w:p>
          <w:p w:rsidR="002C03A3" w:rsidRDefault="004D6E7B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</w:t>
            </w:r>
            <w:r w:rsidR="002C03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детей Городская станция юных натуралистов;</w:t>
            </w:r>
          </w:p>
          <w:p w:rsidR="004D6E7B" w:rsidRDefault="004D6E7B" w:rsidP="004D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55;</w:t>
            </w:r>
          </w:p>
          <w:p w:rsidR="002C03A3" w:rsidRPr="002C03A3" w:rsidRDefault="004D6E7B" w:rsidP="00B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«МУЦ Кировского и Ленинского районов» г. Ярославля;</w:t>
            </w:r>
          </w:p>
        </w:tc>
      </w:tr>
      <w:tr w:rsidR="00D24ADA" w:rsidTr="008F56C6">
        <w:tc>
          <w:tcPr>
            <w:tcW w:w="5211" w:type="dxa"/>
          </w:tcPr>
          <w:p w:rsidR="00D24ADA" w:rsidRDefault="002E2B4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и достижение цели</w:t>
            </w:r>
          </w:p>
        </w:tc>
        <w:tc>
          <w:tcPr>
            <w:tcW w:w="9639" w:type="dxa"/>
          </w:tcPr>
          <w:p w:rsidR="00D24ADA" w:rsidRDefault="007F0715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15">
              <w:rPr>
                <w:rFonts w:ascii="Times New Roman" w:hAnsi="Times New Roman" w:cs="Times New Roman"/>
                <w:sz w:val="24"/>
                <w:szCs w:val="24"/>
              </w:rPr>
              <w:t>В городском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«Цвети, Земля!»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 xml:space="preserve"> было подано 10 заявок, приняли участие 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>ся из 10 муниципальных образовательных учреждений, которые представили 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цветочных композиций. </w:t>
            </w:r>
          </w:p>
          <w:p w:rsidR="00D2395D" w:rsidRDefault="00D2395D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конкурса было осуществление экологического образования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проектную социально значимую деятельность. Задачами конкурса являлось:</w:t>
            </w:r>
          </w:p>
          <w:p w:rsidR="00D2395D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-поддержка детских инициатив по благоустройству и озеленению территорий муниципальных образовательных учреждений, улиц и дворов города Ярославля, городского сквера «Встреча» (напротив кинотеатра «Родина»); </w:t>
            </w:r>
          </w:p>
          <w:p w:rsidR="00D2395D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продуктивной совместной деятельности педагогических работников, учащихся и их родителей; </w:t>
            </w:r>
          </w:p>
          <w:p w:rsidR="00D2395D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="00D2395D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задач:</w:t>
            </w:r>
          </w:p>
          <w:p w:rsidR="00D2395D" w:rsidRDefault="00D2395D" w:rsidP="00D239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Положение о конкурсе было подготовлено и разослано 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совместно с исполкомом общественного движения «Ярославль-2000» была выбрана тематика цветочных композиций «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Виват, Победа!»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70-летие со дня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До 28 февраля осуществлялся прием заявок на участие, эскизов, описаний проектов цветочных композиций. 17, 20 февраля и 10 марта на базе МОУДОД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консультации ландшафтного дизайнера Котова Ивана Николаевича. Общие подготовительные работы (подготовка документации, подбор членов экспертной комиссии, подготовка помещения для проведения конкурса) осуществлялись до 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2395D" w:rsidRDefault="00D2395D" w:rsidP="00D239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торжественное открытие конкурса началось с выступления учени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ков6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 МОУ СОШ №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исполнил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«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>Алеша»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состоялась защита проектов.</w:t>
            </w:r>
          </w:p>
          <w:p w:rsidR="00841F54" w:rsidRDefault="00D2395D" w:rsidP="00841F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 победители и участники были награждены дипломами департамента образования мэрии города Ярославля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67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7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 xml:space="preserve"> и призами,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поощрительными дипломами.  </w:t>
            </w:r>
            <w:r w:rsidR="00841F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проектов были вручены дипломы </w:t>
            </w:r>
            <w:proofErr w:type="gramStart"/>
            <w:r w:rsidR="00841F54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="00841F5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участников. Так же исполком общественного движения «Ярославль-2000» вручил  всем образовательным учреждениям, участвующим в конкурсе наборы семян</w:t>
            </w:r>
            <w:r w:rsidR="004D6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44B" w:rsidRDefault="00841F54" w:rsidP="00841F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Для оценки проектов была организована экспертная комиссия (жюри) </w:t>
            </w:r>
            <w:r w:rsidR="00C5344B">
              <w:rPr>
                <w:rFonts w:ascii="Times New Roman" w:hAnsi="Times New Roman" w:cs="Times New Roman"/>
                <w:sz w:val="24"/>
                <w:szCs w:val="24"/>
              </w:rPr>
              <w:t>состоящая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C5344B" w:rsidRDefault="00C5344B" w:rsidP="00C5344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-заведующей сектором декоративного садоводства ГАУ ДОД ЯО «Центр детей и юношества»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Зои Федоровны;</w:t>
            </w:r>
          </w:p>
          <w:p w:rsidR="00C5344B" w:rsidRDefault="00C5344B" w:rsidP="00C5344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F54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ландшафтного дизайнера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Котова Ивана Николаевича;</w:t>
            </w:r>
          </w:p>
          <w:p w:rsidR="00841F54" w:rsidRDefault="00C5344B" w:rsidP="00C5344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F5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биологическим отделом МОУДОД </w:t>
            </w:r>
            <w:proofErr w:type="spellStart"/>
            <w:r w:rsidR="00841F54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Пашутиной Натальи Викторовны.</w:t>
            </w:r>
          </w:p>
          <w:p w:rsidR="00841F54" w:rsidRPr="002C16AB" w:rsidRDefault="00E11D98" w:rsidP="00E11D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 оформлен протокол, оценочные листы, отмечены положительные моменты и ряд недостатков.</w:t>
            </w:r>
          </w:p>
          <w:p w:rsidR="00841F54" w:rsidRPr="007F0715" w:rsidRDefault="00841F54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8F56C6">
        <w:tc>
          <w:tcPr>
            <w:tcW w:w="5211" w:type="dxa"/>
          </w:tcPr>
          <w:p w:rsidR="008F56C6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Обеспечение, оборудование,</w:t>
            </w:r>
          </w:p>
          <w:p w:rsidR="00D24ADA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мероприятия: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-техническое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-музыкальное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-художественное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-побор призового фонда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-фотографирование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-видеосъемка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-приглашение СМИ</w:t>
            </w:r>
          </w:p>
        </w:tc>
        <w:tc>
          <w:tcPr>
            <w:tcW w:w="9639" w:type="dxa"/>
          </w:tcPr>
          <w:p w:rsidR="00D24ADA" w:rsidRDefault="00D24ADA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98" w:rsidRDefault="00E11D98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98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мультимедийного оборудования;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сцены в актовом зале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4B" w:rsidRDefault="00C5344B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часы, органайзеры, наборы семян.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на протяжении конкурса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5E" w:rsidRPr="007F0715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ADA" w:rsidTr="008F56C6">
        <w:tc>
          <w:tcPr>
            <w:tcW w:w="5211" w:type="dxa"/>
          </w:tcPr>
          <w:p w:rsidR="00D24ADA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Оценка, отзывы о мероприятии: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-детей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-взрослых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-организаторов</w:t>
            </w:r>
          </w:p>
        </w:tc>
        <w:tc>
          <w:tcPr>
            <w:tcW w:w="9639" w:type="dxa"/>
          </w:tcPr>
          <w:p w:rsidR="00D24ADA" w:rsidRDefault="00D24ADA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уровень подготовки участников, разнообразие идей проектов;</w:t>
            </w:r>
          </w:p>
          <w:p w:rsidR="003E1D5E" w:rsidRDefault="003E1D5E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</w:t>
            </w:r>
          </w:p>
          <w:p w:rsidR="003E1D5E" w:rsidRPr="007F0715" w:rsidRDefault="003E1D5E" w:rsidP="000A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количество участников, оригинальность идей, заинтересованность обучающихся, использование </w:t>
            </w:r>
            <w:r w:rsidR="000A0BE0">
              <w:rPr>
                <w:rFonts w:ascii="Times New Roman" w:hAnsi="Times New Roman" w:cs="Times New Roman"/>
                <w:sz w:val="24"/>
                <w:szCs w:val="24"/>
              </w:rPr>
              <w:t>макетов помимо компьютерных презентаций.</w:t>
            </w:r>
          </w:p>
        </w:tc>
      </w:tr>
      <w:tr w:rsidR="003E1D5E" w:rsidTr="008F56C6">
        <w:tc>
          <w:tcPr>
            <w:tcW w:w="5211" w:type="dxa"/>
          </w:tcPr>
          <w:p w:rsidR="003E1D5E" w:rsidRDefault="000A0BE0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Недостатки </w:t>
            </w:r>
          </w:p>
        </w:tc>
        <w:tc>
          <w:tcPr>
            <w:tcW w:w="9639" w:type="dxa"/>
          </w:tcPr>
          <w:p w:rsidR="003E1D5E" w:rsidRPr="007F0715" w:rsidRDefault="000A0BE0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 принципы масштаба, не выдержаны пропорции, нет ассортиментной ведомости.</w:t>
            </w:r>
          </w:p>
        </w:tc>
      </w:tr>
      <w:tr w:rsidR="00B00B83" w:rsidTr="00385A91">
        <w:trPr>
          <w:trHeight w:val="395"/>
        </w:trPr>
        <w:tc>
          <w:tcPr>
            <w:tcW w:w="5211" w:type="dxa"/>
          </w:tcPr>
          <w:p w:rsidR="00B00B83" w:rsidRDefault="00B00B83" w:rsidP="00C92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Выводы по сравнению с предыдущими годами</w:t>
            </w:r>
          </w:p>
        </w:tc>
        <w:tc>
          <w:tcPr>
            <w:tcW w:w="9639" w:type="dxa"/>
          </w:tcPr>
          <w:p w:rsidR="00B00B83" w:rsidRDefault="00B00B83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«Цвети, Земля!» как самостоятельное мероприятие проводится уже не первый год. Каждый год отмечается стабильный интерес образовательных учреждений к данному конкурсу, разнообразие идей и творческий подход участников.</w:t>
            </w:r>
          </w:p>
        </w:tc>
      </w:tr>
    </w:tbl>
    <w:p w:rsidR="00D24ADA" w:rsidRDefault="00D24ADA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1F" w:rsidRDefault="00EB3F1F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1F" w:rsidRDefault="00EB3F1F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Яковлева Е.А.</w:t>
      </w:r>
    </w:p>
    <w:p w:rsidR="00EB3F1F" w:rsidRP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                 Усова Н.Г. (методист)</w:t>
      </w:r>
    </w:p>
    <w:sectPr w:rsidR="00EB3F1F" w:rsidRPr="00EB3F1F" w:rsidSect="00B00B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1DE0"/>
    <w:rsid w:val="000A0BE0"/>
    <w:rsid w:val="000F77BA"/>
    <w:rsid w:val="00225B91"/>
    <w:rsid w:val="002C03A3"/>
    <w:rsid w:val="002E2B48"/>
    <w:rsid w:val="003E1D5E"/>
    <w:rsid w:val="004C23E0"/>
    <w:rsid w:val="004D6E7B"/>
    <w:rsid w:val="0058190A"/>
    <w:rsid w:val="005A39F1"/>
    <w:rsid w:val="006C1DE0"/>
    <w:rsid w:val="007F0715"/>
    <w:rsid w:val="00841F54"/>
    <w:rsid w:val="008F56C6"/>
    <w:rsid w:val="00B00B83"/>
    <w:rsid w:val="00B55B80"/>
    <w:rsid w:val="00C5344B"/>
    <w:rsid w:val="00C92F5B"/>
    <w:rsid w:val="00D2395D"/>
    <w:rsid w:val="00D24ADA"/>
    <w:rsid w:val="00DC0ACF"/>
    <w:rsid w:val="00E11D98"/>
    <w:rsid w:val="00EB3F1F"/>
    <w:rsid w:val="00ED6ECE"/>
    <w:rsid w:val="00F378B3"/>
    <w:rsid w:val="00F55EF6"/>
    <w:rsid w:val="00FA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2</cp:revision>
  <cp:lastPrinted>2014-04-10T07:03:00Z</cp:lastPrinted>
  <dcterms:created xsi:type="dcterms:W3CDTF">2016-02-10T10:59:00Z</dcterms:created>
  <dcterms:modified xsi:type="dcterms:W3CDTF">2016-02-10T10:59:00Z</dcterms:modified>
</cp:coreProperties>
</file>